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A0" w:rsidRPr="00A801A0" w:rsidRDefault="00A801A0" w:rsidP="00A801A0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0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Выписки из постановления Правительства Ханты-Мансийского автономного округа – Югры от 29.12.2023 года № 693-п «О Территориальной программе государственных гарантий бесплатного оказания гражданам медицинской помощи в Ханты-Мансийском автономном округе – Югре на 2024 год и на плановый период 2025 и 2026 годов»:</w:t>
      </w:r>
      <w:bookmarkStart w:id="0" w:name="_GoBack"/>
      <w:bookmarkEnd w:id="0"/>
    </w:p>
    <w:p w:rsidR="00A801A0" w:rsidRDefault="00A801A0"/>
    <w:p w:rsidR="00A801A0" w:rsidRDefault="00A801A0" w:rsidP="00A801A0">
      <w:pPr>
        <w:pStyle w:val="ConsPlusTitle"/>
        <w:jc w:val="center"/>
        <w:outlineLvl w:val="1"/>
      </w:pPr>
      <w:r>
        <w:t>III. Перечень заболеваний и состояний, оказание медицинской</w:t>
      </w:r>
    </w:p>
    <w:p w:rsidR="00A801A0" w:rsidRDefault="00A801A0" w:rsidP="00A801A0">
      <w:pPr>
        <w:pStyle w:val="ConsPlusTitle"/>
        <w:jc w:val="center"/>
      </w:pPr>
      <w:r>
        <w:t>помощи при которых осуществляется бесплатно, и категории</w:t>
      </w:r>
    </w:p>
    <w:p w:rsidR="00A801A0" w:rsidRDefault="00A801A0" w:rsidP="00A801A0">
      <w:pPr>
        <w:pStyle w:val="ConsPlusTitle"/>
        <w:jc w:val="center"/>
      </w:pPr>
      <w:r>
        <w:t>граждан, оказание медицинской помощи которым осуществляется</w:t>
      </w:r>
    </w:p>
    <w:p w:rsidR="00A801A0" w:rsidRDefault="00A801A0" w:rsidP="00A801A0">
      <w:pPr>
        <w:pStyle w:val="ConsPlusTitle"/>
        <w:jc w:val="center"/>
      </w:pPr>
      <w:r>
        <w:t>бесплатно</w:t>
      </w:r>
    </w:p>
    <w:p w:rsidR="00A801A0" w:rsidRDefault="00A801A0" w:rsidP="00A801A0">
      <w:pPr>
        <w:pStyle w:val="ConsPlusNormal"/>
        <w:ind w:firstLine="540"/>
        <w:jc w:val="both"/>
      </w:pPr>
    </w:p>
    <w:p w:rsidR="00A801A0" w:rsidRDefault="00A801A0" w:rsidP="00A801A0">
      <w:pPr>
        <w:pStyle w:val="ConsPlusNormal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ar71" w:tooltip="II. Перечень видов, форм и условий предоставления" w:history="1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инфекционные и паразитарные болезни;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новообразования;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эндокринной системы;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расстройства питания и нарушения обмена веществ;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нервной системы;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крови, кроветворных органов;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глаза и его придаточного аппарата;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уха и сосцевидного отростка;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системы кровообращения;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органов дыхания;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мочеполовой системы;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кожи и подкожной клетчатки;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врожденные аномалии (пороки развития);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деформации и хромосомные нарушения;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беременность, роды, послеродовой период и аборты;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отдельные состояния, возникающие у детей в перинатальный период;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Гражданин имеет право не реже 1 раза в год на бесплатный профилактический медицинский осмотр, в том числе в условиях диспансеризации.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 на: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 xml:space="preserve">обеспечение лекарственными препаратами (в соответствии с </w:t>
      </w:r>
      <w:hyperlink w:anchor="Par315" w:tooltip="V. Финансовое обеспечение Программы" w:history="1">
        <w:r>
          <w:rPr>
            <w:color w:val="0000FF"/>
          </w:rPr>
          <w:t>разделом V</w:t>
        </w:r>
      </w:hyperlink>
      <w:r>
        <w:t xml:space="preserve"> Программы);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профилактические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диспансеризацию -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медицинское обследование, лечение и медицинскую реабилитацию в ходе программы государственных гарантий бесплатного оказания гражданам медицинской помощи - донор, давший письменное информирование добровольное согласие на изъятие своих органов и (или) тканей для трансплантации;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пренатальную (дородовую) диагностику нарушений развития ребенка - беременные женщины;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аудиологический скрининг - новорожденные дети и дети первого года жизни;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ацидемея,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живыми;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зубное протезирование гражданам отдельных категорий в соответствии с законодательством автономного округа, в том числе лицам, находящимся в стационарных организациях социального обслуживания.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осуществляется в соответствии с </w:t>
      </w:r>
      <w:hyperlink r:id="rId4" w:history="1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утвержденным приказом Минздрава России от 19 февраля 2021 года N 116н.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установленных порядком оказания медицинской помощи, утвержденным Минздравом России.</w:t>
      </w:r>
    </w:p>
    <w:p w:rsidR="00A801A0" w:rsidRDefault="00A801A0" w:rsidP="00A801A0">
      <w:pPr>
        <w:pStyle w:val="ConsPlusNormal"/>
        <w:spacing w:before="200"/>
        <w:ind w:firstLine="540"/>
        <w:jc w:val="both"/>
      </w:pPr>
      <w:r>
        <w:t>В целях обеспечения охраны здоровья населения и нераспространения новой коронавирусной инфекции (COVID-19) проведение профилактических медицинских осмотров и диспансеризации определенных групп взрослого населения, углубленной диспансеризации (за исключением обязательных медицинских осмотров: предварительных, периодических, внеочередных, углубленных) в медицинских организациях, участвующих в реализации территориальной программы, возможно временное приостановление по распоряжению регионального оперативного штаба по предупреждению завоза и распространения коронавирусной инфекции в автономном округе.</w:t>
      </w:r>
    </w:p>
    <w:p w:rsidR="00A801A0" w:rsidRDefault="00A801A0"/>
    <w:sectPr w:rsidR="00A8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59"/>
    <w:rsid w:val="001A6F59"/>
    <w:rsid w:val="00720953"/>
    <w:rsid w:val="00A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1A93"/>
  <w15:chartTrackingRefBased/>
  <w15:docId w15:val="{2AD18623-62A0-41F4-A9A3-C651AEA4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0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0635&amp;date=15.01.2024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Х. Идрисова</dc:creator>
  <cp:keywords/>
  <dc:description/>
  <cp:lastModifiedBy>Гульнара Х. Идрисова</cp:lastModifiedBy>
  <cp:revision>2</cp:revision>
  <dcterms:created xsi:type="dcterms:W3CDTF">2024-09-17T10:08:00Z</dcterms:created>
  <dcterms:modified xsi:type="dcterms:W3CDTF">2024-09-17T10:09:00Z</dcterms:modified>
</cp:coreProperties>
</file>